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rPr>
          <w:rFonts w:ascii="方正黑体_GBK" w:eastAsia="方正黑体_GBK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收入支出决算总表</w:t>
      </w:r>
    </w:p>
    <w:tbl>
      <w:tblPr>
        <w:tblStyle w:val="9"/>
        <w:tblW w:w="9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080"/>
        <w:gridCol w:w="580"/>
        <w:gridCol w:w="1440"/>
        <w:gridCol w:w="2820"/>
        <w:gridCol w:w="58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公开01表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部门：中国共产主义青年团中央委员会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48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行次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行次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一、财政拨款收入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56351.04 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48991.01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二、经营收入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1656.17 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21.60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三、其他收入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1004.99 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三、教育支出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5360.90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四、文化体育与传媒支出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5385.94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五、社会保障和就业支出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603.42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六、住房保障支出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468.23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 xml:space="preserve">59012.20 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 xml:space="preserve">60831.10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用事业基金弥补收支差额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结余分配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634.69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年初结转和结余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19896.88 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年末结转和结余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17443.29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 xml:space="preserve">78909.08 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 xml:space="preserve">78909.08 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77136A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2015-07-17T07:35:32Z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